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066"/>
        <w:gridCol w:w="845"/>
        <w:gridCol w:w="6439"/>
      </w:tblGrid>
      <w:tr w:rsidR="00C161E9" w:rsidTr="004F5FA3">
        <w:tc>
          <w:tcPr>
            <w:tcW w:w="2066" w:type="dxa"/>
          </w:tcPr>
          <w:p w:rsidR="00C161E9" w:rsidRPr="005D2083" w:rsidRDefault="00C161E9">
            <w:pPr>
              <w:rPr>
                <w:rFonts w:ascii="Times New Roman" w:hAnsi="Times New Roman" w:cs="Times New Roman"/>
                <w:b/>
              </w:rPr>
            </w:pPr>
            <w:r w:rsidRPr="005D2083">
              <w:rPr>
                <w:rFonts w:ascii="Times New Roman" w:hAnsi="Times New Roman" w:cs="Times New Roman"/>
                <w:b/>
              </w:rPr>
              <w:t>SOP:</w:t>
            </w:r>
          </w:p>
        </w:tc>
        <w:tc>
          <w:tcPr>
            <w:tcW w:w="845" w:type="dxa"/>
          </w:tcPr>
          <w:p w:rsidR="00C161E9" w:rsidRPr="005D2083" w:rsidRDefault="004F5FA3">
            <w:pPr>
              <w:rPr>
                <w:rFonts w:ascii="Times New Roman" w:hAnsi="Times New Roman" w:cs="Times New Roman"/>
                <w:b/>
              </w:rPr>
            </w:pPr>
            <w:r>
              <w:rPr>
                <w:rFonts w:ascii="Times New Roman" w:hAnsi="Times New Roman" w:cs="Times New Roman"/>
                <w:b/>
              </w:rPr>
              <w:t>110.3</w:t>
            </w:r>
          </w:p>
        </w:tc>
        <w:tc>
          <w:tcPr>
            <w:tcW w:w="6439" w:type="dxa"/>
          </w:tcPr>
          <w:p w:rsidR="00C161E9" w:rsidRPr="005D2083" w:rsidRDefault="004F5FA3">
            <w:pPr>
              <w:rPr>
                <w:rFonts w:ascii="Times New Roman" w:hAnsi="Times New Roman" w:cs="Times New Roman"/>
                <w:b/>
              </w:rPr>
            </w:pPr>
            <w:r>
              <w:rPr>
                <w:rFonts w:ascii="Times New Roman" w:hAnsi="Times New Roman" w:cs="Times New Roman"/>
                <w:b/>
              </w:rPr>
              <w:t>Withdrawal or Suspension of AREB Approval</w:t>
            </w:r>
          </w:p>
        </w:tc>
      </w:tr>
      <w:tr w:rsidR="00C161E9" w:rsidTr="004F5FA3">
        <w:tc>
          <w:tcPr>
            <w:tcW w:w="2066" w:type="dxa"/>
          </w:tcPr>
          <w:p w:rsidR="00C161E9" w:rsidRPr="005D2083" w:rsidRDefault="00C161E9">
            <w:pPr>
              <w:rPr>
                <w:rFonts w:ascii="Times New Roman" w:hAnsi="Times New Roman" w:cs="Times New Roman"/>
                <w:b/>
              </w:rPr>
            </w:pPr>
            <w:r w:rsidRPr="005D2083">
              <w:rPr>
                <w:rFonts w:ascii="Times New Roman" w:hAnsi="Times New Roman" w:cs="Times New Roman"/>
                <w:b/>
              </w:rPr>
              <w:t>Version Date:</w:t>
            </w:r>
          </w:p>
        </w:tc>
        <w:tc>
          <w:tcPr>
            <w:tcW w:w="7284" w:type="dxa"/>
            <w:gridSpan w:val="2"/>
          </w:tcPr>
          <w:p w:rsidR="00C161E9" w:rsidRPr="00C161E9" w:rsidRDefault="004F5FA3">
            <w:pPr>
              <w:rPr>
                <w:rFonts w:ascii="Times New Roman" w:hAnsi="Times New Roman" w:cs="Times New Roman"/>
              </w:rPr>
            </w:pPr>
            <w:r>
              <w:rPr>
                <w:rFonts w:ascii="Times New Roman" w:hAnsi="Times New Roman" w:cs="Times New Roman"/>
              </w:rPr>
              <w:t>10-2019</w:t>
            </w:r>
          </w:p>
        </w:tc>
      </w:tr>
      <w:tr w:rsidR="00C161E9" w:rsidTr="004F5FA3">
        <w:tc>
          <w:tcPr>
            <w:tcW w:w="2066" w:type="dxa"/>
          </w:tcPr>
          <w:p w:rsidR="00C161E9" w:rsidRPr="005D2083" w:rsidRDefault="00C161E9">
            <w:pPr>
              <w:rPr>
                <w:rFonts w:ascii="Times New Roman" w:hAnsi="Times New Roman" w:cs="Times New Roman"/>
                <w:b/>
              </w:rPr>
            </w:pPr>
            <w:r w:rsidRPr="005D2083">
              <w:rPr>
                <w:rFonts w:ascii="Times New Roman" w:hAnsi="Times New Roman" w:cs="Times New Roman"/>
                <w:b/>
              </w:rPr>
              <w:t>Review By:</w:t>
            </w:r>
          </w:p>
        </w:tc>
        <w:tc>
          <w:tcPr>
            <w:tcW w:w="7284" w:type="dxa"/>
            <w:gridSpan w:val="2"/>
          </w:tcPr>
          <w:p w:rsidR="00C161E9" w:rsidRPr="00C161E9" w:rsidRDefault="004F5FA3">
            <w:pPr>
              <w:rPr>
                <w:rFonts w:ascii="Times New Roman" w:hAnsi="Times New Roman" w:cs="Times New Roman"/>
              </w:rPr>
            </w:pPr>
            <w:r>
              <w:rPr>
                <w:rFonts w:ascii="Times New Roman" w:hAnsi="Times New Roman" w:cs="Times New Roman"/>
              </w:rPr>
              <w:t>10-202</w:t>
            </w:r>
            <w:r w:rsidR="00A34885">
              <w:rPr>
                <w:rFonts w:ascii="Times New Roman" w:hAnsi="Times New Roman" w:cs="Times New Roman"/>
              </w:rPr>
              <w:t>2</w:t>
            </w:r>
          </w:p>
        </w:tc>
      </w:tr>
      <w:tr w:rsidR="00C161E9" w:rsidTr="004F5FA3">
        <w:tc>
          <w:tcPr>
            <w:tcW w:w="2066" w:type="dxa"/>
          </w:tcPr>
          <w:p w:rsidR="00C161E9" w:rsidRPr="005D2083" w:rsidRDefault="00C161E9">
            <w:pPr>
              <w:rPr>
                <w:rFonts w:ascii="Times New Roman" w:hAnsi="Times New Roman" w:cs="Times New Roman"/>
                <w:b/>
              </w:rPr>
            </w:pPr>
            <w:r w:rsidRPr="005D2083">
              <w:rPr>
                <w:rFonts w:ascii="Times New Roman" w:hAnsi="Times New Roman" w:cs="Times New Roman"/>
                <w:b/>
              </w:rPr>
              <w:t>Subject:</w:t>
            </w:r>
          </w:p>
        </w:tc>
        <w:tc>
          <w:tcPr>
            <w:tcW w:w="7284" w:type="dxa"/>
            <w:gridSpan w:val="2"/>
          </w:tcPr>
          <w:p w:rsidR="00C161E9" w:rsidRPr="00C161E9" w:rsidRDefault="004F5FA3">
            <w:pPr>
              <w:rPr>
                <w:rFonts w:ascii="Times New Roman" w:hAnsi="Times New Roman" w:cs="Times New Roman"/>
              </w:rPr>
            </w:pPr>
            <w:r>
              <w:rPr>
                <w:rFonts w:ascii="Times New Roman" w:hAnsi="Times New Roman" w:cs="Times New Roman"/>
              </w:rPr>
              <w:t>To describe the authority and process of the AREB to withdraw or suspend approval of research protocols already given AREB approval.</w:t>
            </w:r>
          </w:p>
        </w:tc>
      </w:tr>
      <w:tr w:rsidR="00C161E9" w:rsidTr="004F5FA3">
        <w:trPr>
          <w:trHeight w:val="129"/>
        </w:trPr>
        <w:tc>
          <w:tcPr>
            <w:tcW w:w="2066" w:type="dxa"/>
          </w:tcPr>
          <w:p w:rsidR="00C161E9" w:rsidRPr="005D2083" w:rsidRDefault="00C161E9">
            <w:pPr>
              <w:rPr>
                <w:rFonts w:ascii="Times New Roman" w:hAnsi="Times New Roman" w:cs="Times New Roman"/>
                <w:b/>
              </w:rPr>
            </w:pPr>
            <w:r w:rsidRPr="005D2083">
              <w:rPr>
                <w:rFonts w:ascii="Times New Roman" w:hAnsi="Times New Roman" w:cs="Times New Roman"/>
                <w:b/>
              </w:rPr>
              <w:t>Related Documents</w:t>
            </w:r>
          </w:p>
        </w:tc>
        <w:tc>
          <w:tcPr>
            <w:tcW w:w="7284" w:type="dxa"/>
            <w:gridSpan w:val="2"/>
          </w:tcPr>
          <w:p w:rsidR="00C161E9" w:rsidRPr="00C161E9" w:rsidRDefault="004F5FA3">
            <w:pPr>
              <w:rPr>
                <w:rFonts w:ascii="Times New Roman" w:hAnsi="Times New Roman" w:cs="Times New Roman"/>
              </w:rPr>
            </w:pPr>
            <w:r>
              <w:rPr>
                <w:rFonts w:ascii="Times New Roman" w:hAnsi="Times New Roman" w:cs="Times New Roman"/>
              </w:rPr>
              <w:t>SOP 109; SOP RS 111</w:t>
            </w:r>
          </w:p>
        </w:tc>
      </w:tr>
    </w:tbl>
    <w:p w:rsidR="00C161E9" w:rsidRPr="004021E3" w:rsidRDefault="004021E3">
      <w:r>
        <w:rPr>
          <w:noProof/>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248285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3F6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9.55pt" to="474.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" strokecolor="black [3040]"/>
            </w:pict>
          </mc:Fallback>
        </mc:AlternateContent>
      </w:r>
      <w:r>
        <w:br/>
      </w:r>
    </w:p>
    <w:p w:rsidR="004F5FA3" w:rsidRPr="004F5FA3" w:rsidRDefault="004F5FA3" w:rsidP="004F5FA3">
      <w:pPr>
        <w:pStyle w:val="ListParagraph"/>
        <w:numPr>
          <w:ilvl w:val="0"/>
          <w:numId w:val="1"/>
        </w:numPr>
        <w:rPr>
          <w:rFonts w:ascii="Times New Roman" w:hAnsi="Times New Roman" w:cs="Times New Roman"/>
        </w:rPr>
      </w:pPr>
      <w:r w:rsidRPr="004F5FA3">
        <w:rPr>
          <w:rFonts w:ascii="Times New Roman" w:hAnsi="Times New Roman" w:cs="Times New Roman"/>
        </w:rPr>
        <w:t>The AREB may suspend or withdraw</w:t>
      </w:r>
      <w:r>
        <w:rPr>
          <w:rFonts w:ascii="Times New Roman" w:hAnsi="Times New Roman" w:cs="Times New Roman"/>
        </w:rPr>
        <w:t xml:space="preserve"> </w:t>
      </w:r>
      <w:r w:rsidRPr="004F5FA3">
        <w:rPr>
          <w:rFonts w:ascii="Times New Roman" w:hAnsi="Times New Roman" w:cs="Times New Roman"/>
        </w:rPr>
        <w:t>ethical approval if a project is not being, or cannot be, conducted in accordance with the approved protocol.</w:t>
      </w:r>
      <w:r w:rsidRPr="004F5FA3">
        <w:rPr>
          <w:rFonts w:ascii="Times New Roman" w:hAnsi="Times New Roman" w:cs="Times New Roman"/>
        </w:rPr>
        <w:br/>
      </w:r>
    </w:p>
    <w:p w:rsidR="004F5FA3" w:rsidRPr="004F5FA3" w:rsidRDefault="004F5FA3" w:rsidP="004F5FA3">
      <w:pPr>
        <w:pStyle w:val="ListParagraph"/>
        <w:numPr>
          <w:ilvl w:val="0"/>
          <w:numId w:val="1"/>
        </w:numPr>
        <w:rPr>
          <w:rFonts w:ascii="Times New Roman" w:hAnsi="Times New Roman" w:cs="Times New Roman"/>
        </w:rPr>
      </w:pPr>
      <w:r w:rsidRPr="004F5FA3">
        <w:rPr>
          <w:rFonts w:ascii="Times New Roman" w:hAnsi="Times New Roman" w:cs="Times New Roman"/>
        </w:rPr>
        <w:t>The AREB</w:t>
      </w:r>
      <w:r>
        <w:rPr>
          <w:rFonts w:ascii="Times New Roman" w:hAnsi="Times New Roman" w:cs="Times New Roman"/>
        </w:rPr>
        <w:t xml:space="preserve"> </w:t>
      </w:r>
      <w:r w:rsidRPr="004F5FA3">
        <w:rPr>
          <w:rFonts w:ascii="Times New Roman" w:hAnsi="Times New Roman" w:cs="Times New Roman"/>
        </w:rPr>
        <w:t>may stop any objectionable procedure if it considers that unnecessary or excessive distress or pain is being experienced by an animal.</w:t>
      </w:r>
      <w:r w:rsidRPr="004F5FA3">
        <w:rPr>
          <w:rFonts w:ascii="Times New Roman" w:hAnsi="Times New Roman" w:cs="Times New Roman"/>
        </w:rPr>
        <w:br/>
      </w:r>
    </w:p>
    <w:p w:rsidR="004F5FA3" w:rsidRDefault="004F5FA3" w:rsidP="004F5FA3">
      <w:pPr>
        <w:pStyle w:val="ListParagraph"/>
        <w:numPr>
          <w:ilvl w:val="0"/>
          <w:numId w:val="1"/>
        </w:numPr>
        <w:rPr>
          <w:rFonts w:ascii="Times New Roman" w:hAnsi="Times New Roman" w:cs="Times New Roman"/>
        </w:rPr>
      </w:pPr>
      <w:r w:rsidRPr="004F5FA3">
        <w:rPr>
          <w:rFonts w:ascii="Times New Roman" w:hAnsi="Times New Roman" w:cs="Times New Roman"/>
        </w:rPr>
        <w:t>The AREB may stop</w:t>
      </w:r>
      <w:r>
        <w:rPr>
          <w:rFonts w:ascii="Times New Roman" w:hAnsi="Times New Roman" w:cs="Times New Roman"/>
        </w:rPr>
        <w:t xml:space="preserve"> </w:t>
      </w:r>
      <w:r w:rsidRPr="004F5FA3">
        <w:rPr>
          <w:rFonts w:ascii="Times New Roman" w:hAnsi="Times New Roman" w:cs="Times New Roman"/>
        </w:rPr>
        <w:t>immediately the use of any animals which deviates from the approved use, any non-approved procedure, or any procedure causing unforeseen pain or distress to animals.</w:t>
      </w:r>
      <w:r>
        <w:rPr>
          <w:rFonts w:ascii="Times New Roman" w:hAnsi="Times New Roman" w:cs="Times New Roman"/>
        </w:rPr>
        <w:br/>
      </w:r>
    </w:p>
    <w:p w:rsidR="004F5FA3" w:rsidRDefault="004F5FA3" w:rsidP="004F5FA3">
      <w:pPr>
        <w:pStyle w:val="ListParagraph"/>
        <w:numPr>
          <w:ilvl w:val="0"/>
          <w:numId w:val="1"/>
        </w:numPr>
        <w:rPr>
          <w:rFonts w:ascii="Times New Roman" w:hAnsi="Times New Roman" w:cs="Times New Roman"/>
        </w:rPr>
      </w:pPr>
      <w:r w:rsidRPr="004F5FA3">
        <w:rPr>
          <w:rFonts w:ascii="Times New Roman" w:hAnsi="Times New Roman" w:cs="Times New Roman"/>
        </w:rPr>
        <w:t>The AREB may have an animal euthanized humanely if pain or distress caused to the animal is not part of the approved protocol.</w:t>
      </w:r>
      <w:r>
        <w:rPr>
          <w:rFonts w:ascii="Times New Roman" w:hAnsi="Times New Roman" w:cs="Times New Roman"/>
        </w:rPr>
        <w:br/>
      </w:r>
    </w:p>
    <w:p w:rsidR="004F5FA3" w:rsidRDefault="004F5FA3" w:rsidP="004F5FA3">
      <w:pPr>
        <w:pStyle w:val="ListParagraph"/>
        <w:numPr>
          <w:ilvl w:val="0"/>
          <w:numId w:val="1"/>
        </w:numPr>
        <w:rPr>
          <w:rFonts w:ascii="Times New Roman" w:hAnsi="Times New Roman" w:cs="Times New Roman"/>
        </w:rPr>
      </w:pPr>
      <w:r w:rsidRPr="004F5FA3">
        <w:rPr>
          <w:rFonts w:ascii="Times New Roman" w:hAnsi="Times New Roman" w:cs="Times New Roman"/>
        </w:rPr>
        <w:t>The AREB may suspend or withdraw ethical approval of a project if any of the investigators are considered to have engaged in serious misconduct or the project has failed to comply with any conditions imposed by the AREB, including monitoring requirements.</w:t>
      </w:r>
      <w:r>
        <w:rPr>
          <w:rFonts w:ascii="Times New Roman" w:hAnsi="Times New Roman" w:cs="Times New Roman"/>
        </w:rPr>
        <w:br/>
      </w:r>
    </w:p>
    <w:p w:rsidR="004F5FA3" w:rsidRDefault="004F5FA3" w:rsidP="004F5FA3">
      <w:pPr>
        <w:pStyle w:val="ListParagraph"/>
        <w:numPr>
          <w:ilvl w:val="0"/>
          <w:numId w:val="1"/>
        </w:numPr>
        <w:rPr>
          <w:rFonts w:ascii="Times New Roman" w:hAnsi="Times New Roman" w:cs="Times New Roman"/>
        </w:rPr>
      </w:pPr>
      <w:r w:rsidRPr="004F5FA3">
        <w:rPr>
          <w:rFonts w:ascii="Times New Roman" w:hAnsi="Times New Roman" w:cs="Times New Roman"/>
        </w:rPr>
        <w:t>The AREB will advise the Research Office and the Associate Vice-President, Research, of any decisions to withdraw or suspend ethical approval of any project. These offices may advise the AREB on following actions and decide if further action is warranted depending on the circumstances.</w:t>
      </w:r>
      <w:r>
        <w:rPr>
          <w:rFonts w:ascii="Times New Roman" w:hAnsi="Times New Roman" w:cs="Times New Roman"/>
        </w:rPr>
        <w:br/>
      </w:r>
    </w:p>
    <w:p w:rsidR="004F5FA3" w:rsidRPr="004F5FA3" w:rsidRDefault="004F5FA3" w:rsidP="004F5FA3">
      <w:pPr>
        <w:pStyle w:val="ListParagraph"/>
        <w:numPr>
          <w:ilvl w:val="0"/>
          <w:numId w:val="1"/>
        </w:numPr>
        <w:rPr>
          <w:rFonts w:ascii="Times New Roman" w:hAnsi="Times New Roman" w:cs="Times New Roman"/>
        </w:rPr>
      </w:pPr>
      <w:r w:rsidRPr="004F5FA3">
        <w:rPr>
          <w:rFonts w:ascii="Times New Roman" w:hAnsi="Times New Roman" w:cs="Times New Roman"/>
        </w:rPr>
        <w:t xml:space="preserve">The Consulting Veterinarian has the sole authority to act on behalf of the committee and implement the measures noted in sections 2, 3, and 4 without prior consultation with either researchers or the AREB if they deem it necessary. The Consulting Veterinarian will make a recommendation to the committee how to proceed </w:t>
      </w:r>
      <w:proofErr w:type="gramStart"/>
      <w:r w:rsidRPr="004F5FA3">
        <w:rPr>
          <w:rFonts w:ascii="Times New Roman" w:hAnsi="Times New Roman" w:cs="Times New Roman"/>
        </w:rPr>
        <w:t>in the event that</w:t>
      </w:r>
      <w:proofErr w:type="gramEnd"/>
      <w:r w:rsidRPr="004F5FA3">
        <w:rPr>
          <w:rFonts w:ascii="Times New Roman" w:hAnsi="Times New Roman" w:cs="Times New Roman"/>
        </w:rPr>
        <w:t xml:space="preserve"> sections 1, 5, and/or 6 are enacted, however decisions in these cases will be made by a vote of the AREB.</w:t>
      </w:r>
    </w:p>
    <w:p w:rsidR="00C161E9" w:rsidRDefault="00C161E9">
      <w:pPr>
        <w:rPr>
          <w:rFonts w:ascii="Times New Roman" w:hAnsi="Times New Roman" w:cs="Times New Roman"/>
          <w:b/>
        </w:rPr>
      </w:pPr>
      <w:r>
        <w:rPr>
          <w:rFonts w:ascii="Times New Roman" w:hAnsi="Times New Roman" w:cs="Times New Roman"/>
          <w:b/>
        </w:rPr>
        <w:t>Previous Versions</w:t>
      </w:r>
    </w:p>
    <w:tbl>
      <w:tblPr>
        <w:tblStyle w:val="TableGrid"/>
        <w:tblW w:w="0" w:type="auto"/>
        <w:tblLook w:val="04A0" w:firstRow="1" w:lastRow="0" w:firstColumn="1" w:lastColumn="0" w:noHBand="0" w:noVBand="1"/>
      </w:tblPr>
      <w:tblGrid>
        <w:gridCol w:w="1644"/>
        <w:gridCol w:w="2498"/>
        <w:gridCol w:w="5208"/>
      </w:tblGrid>
      <w:tr w:rsidR="00C161E9" w:rsidTr="004F5FA3">
        <w:tc>
          <w:tcPr>
            <w:tcW w:w="1644" w:type="dxa"/>
          </w:tcPr>
          <w:p w:rsidR="00C161E9" w:rsidRDefault="00C161E9" w:rsidP="00C161E9">
            <w:pPr>
              <w:jc w:val="center"/>
              <w:rPr>
                <w:rFonts w:ascii="Times New Roman" w:hAnsi="Times New Roman" w:cs="Times New Roman"/>
                <w:b/>
              </w:rPr>
            </w:pPr>
            <w:r>
              <w:rPr>
                <w:rFonts w:ascii="Times New Roman" w:hAnsi="Times New Roman" w:cs="Times New Roman"/>
                <w:b/>
              </w:rPr>
              <w:t>SOP Number</w:t>
            </w:r>
          </w:p>
        </w:tc>
        <w:tc>
          <w:tcPr>
            <w:tcW w:w="2498" w:type="dxa"/>
          </w:tcPr>
          <w:p w:rsidR="00C161E9" w:rsidRDefault="00C161E9" w:rsidP="00C161E9">
            <w:pPr>
              <w:jc w:val="center"/>
              <w:rPr>
                <w:rFonts w:ascii="Times New Roman" w:hAnsi="Times New Roman" w:cs="Times New Roman"/>
                <w:b/>
              </w:rPr>
            </w:pPr>
            <w:r>
              <w:rPr>
                <w:rFonts w:ascii="Times New Roman" w:hAnsi="Times New Roman" w:cs="Times New Roman"/>
                <w:b/>
              </w:rPr>
              <w:t>Date Effective</w:t>
            </w:r>
          </w:p>
        </w:tc>
        <w:tc>
          <w:tcPr>
            <w:tcW w:w="5208" w:type="dxa"/>
          </w:tcPr>
          <w:p w:rsidR="00C161E9" w:rsidRDefault="00C161E9" w:rsidP="00C161E9">
            <w:pPr>
              <w:jc w:val="center"/>
              <w:rPr>
                <w:rFonts w:ascii="Times New Roman" w:hAnsi="Times New Roman" w:cs="Times New Roman"/>
                <w:b/>
              </w:rPr>
            </w:pPr>
            <w:r>
              <w:rPr>
                <w:rFonts w:ascii="Times New Roman" w:hAnsi="Times New Roman" w:cs="Times New Roman"/>
                <w:b/>
              </w:rPr>
              <w:t>Summary of Changes</w:t>
            </w:r>
          </w:p>
        </w:tc>
      </w:tr>
      <w:tr w:rsidR="00C161E9" w:rsidTr="004F5FA3">
        <w:tc>
          <w:tcPr>
            <w:tcW w:w="1644" w:type="dxa"/>
          </w:tcPr>
          <w:p w:rsidR="00C161E9" w:rsidRPr="004F5FA3" w:rsidRDefault="004F5FA3">
            <w:pPr>
              <w:rPr>
                <w:rFonts w:ascii="Times New Roman" w:hAnsi="Times New Roman" w:cs="Times New Roman"/>
              </w:rPr>
            </w:pPr>
            <w:r w:rsidRPr="004F5FA3">
              <w:rPr>
                <w:rFonts w:ascii="Times New Roman" w:hAnsi="Times New Roman" w:cs="Times New Roman"/>
              </w:rPr>
              <w:t>110.1</w:t>
            </w:r>
          </w:p>
        </w:tc>
        <w:tc>
          <w:tcPr>
            <w:tcW w:w="2498" w:type="dxa"/>
          </w:tcPr>
          <w:p w:rsidR="00C161E9" w:rsidRPr="004F5FA3" w:rsidRDefault="004F5FA3">
            <w:pPr>
              <w:rPr>
                <w:rFonts w:ascii="Times New Roman" w:hAnsi="Times New Roman" w:cs="Times New Roman"/>
              </w:rPr>
            </w:pPr>
            <w:r w:rsidRPr="004F5FA3">
              <w:rPr>
                <w:rFonts w:ascii="Times New Roman" w:hAnsi="Times New Roman" w:cs="Times New Roman"/>
              </w:rPr>
              <w:t>03-2011</w:t>
            </w:r>
          </w:p>
        </w:tc>
        <w:tc>
          <w:tcPr>
            <w:tcW w:w="5208" w:type="dxa"/>
          </w:tcPr>
          <w:p w:rsidR="00C161E9" w:rsidRPr="004F5FA3" w:rsidRDefault="00C161E9">
            <w:pPr>
              <w:rPr>
                <w:rFonts w:ascii="Times New Roman" w:hAnsi="Times New Roman" w:cs="Times New Roman"/>
              </w:rPr>
            </w:pPr>
          </w:p>
        </w:tc>
      </w:tr>
      <w:tr w:rsidR="00C161E9" w:rsidTr="004F5FA3">
        <w:tc>
          <w:tcPr>
            <w:tcW w:w="1644" w:type="dxa"/>
          </w:tcPr>
          <w:p w:rsidR="00C161E9" w:rsidRPr="004F5FA3" w:rsidRDefault="004F5FA3">
            <w:pPr>
              <w:rPr>
                <w:rFonts w:ascii="Times New Roman" w:hAnsi="Times New Roman" w:cs="Times New Roman"/>
              </w:rPr>
            </w:pPr>
            <w:r w:rsidRPr="004F5FA3">
              <w:rPr>
                <w:rFonts w:ascii="Times New Roman" w:hAnsi="Times New Roman" w:cs="Times New Roman"/>
              </w:rPr>
              <w:t>110.2</w:t>
            </w:r>
          </w:p>
        </w:tc>
        <w:tc>
          <w:tcPr>
            <w:tcW w:w="2498" w:type="dxa"/>
          </w:tcPr>
          <w:p w:rsidR="00C161E9" w:rsidRPr="004F5FA3" w:rsidRDefault="004F5FA3">
            <w:pPr>
              <w:rPr>
                <w:rFonts w:ascii="Times New Roman" w:hAnsi="Times New Roman" w:cs="Times New Roman"/>
              </w:rPr>
            </w:pPr>
            <w:r w:rsidRPr="004F5FA3">
              <w:rPr>
                <w:rFonts w:ascii="Times New Roman" w:hAnsi="Times New Roman" w:cs="Times New Roman"/>
              </w:rPr>
              <w:t>11-2016</w:t>
            </w:r>
          </w:p>
        </w:tc>
        <w:tc>
          <w:tcPr>
            <w:tcW w:w="5208" w:type="dxa"/>
          </w:tcPr>
          <w:p w:rsidR="00C161E9" w:rsidRPr="004F5FA3" w:rsidRDefault="004F5FA3">
            <w:pPr>
              <w:rPr>
                <w:rFonts w:ascii="Times New Roman" w:hAnsi="Times New Roman" w:cs="Times New Roman"/>
              </w:rPr>
            </w:pPr>
            <w:r w:rsidRPr="004F5FA3">
              <w:rPr>
                <w:rFonts w:ascii="Times New Roman" w:hAnsi="Times New Roman" w:cs="Times New Roman"/>
              </w:rPr>
              <w:t>Minor textual edits</w:t>
            </w:r>
          </w:p>
        </w:tc>
      </w:tr>
      <w:tr w:rsidR="00C161E9" w:rsidTr="004F5FA3">
        <w:tc>
          <w:tcPr>
            <w:tcW w:w="1644" w:type="dxa"/>
          </w:tcPr>
          <w:p w:rsidR="00C161E9" w:rsidRPr="004F5FA3" w:rsidRDefault="004F5FA3">
            <w:pPr>
              <w:rPr>
                <w:rFonts w:ascii="Times New Roman" w:hAnsi="Times New Roman" w:cs="Times New Roman"/>
              </w:rPr>
            </w:pPr>
            <w:r w:rsidRPr="004F5FA3">
              <w:rPr>
                <w:rFonts w:ascii="Times New Roman" w:hAnsi="Times New Roman" w:cs="Times New Roman"/>
              </w:rPr>
              <w:t>110.3</w:t>
            </w:r>
          </w:p>
        </w:tc>
        <w:tc>
          <w:tcPr>
            <w:tcW w:w="2498" w:type="dxa"/>
          </w:tcPr>
          <w:p w:rsidR="00C161E9" w:rsidRPr="004F5FA3" w:rsidRDefault="004F5FA3">
            <w:pPr>
              <w:rPr>
                <w:rFonts w:ascii="Times New Roman" w:hAnsi="Times New Roman" w:cs="Times New Roman"/>
              </w:rPr>
            </w:pPr>
            <w:r w:rsidRPr="004F5FA3">
              <w:rPr>
                <w:rFonts w:ascii="Times New Roman" w:hAnsi="Times New Roman" w:cs="Times New Roman"/>
              </w:rPr>
              <w:t>10-2019</w:t>
            </w:r>
          </w:p>
        </w:tc>
        <w:tc>
          <w:tcPr>
            <w:tcW w:w="5208" w:type="dxa"/>
          </w:tcPr>
          <w:p w:rsidR="00C161E9" w:rsidRPr="004F5FA3" w:rsidRDefault="004F5FA3">
            <w:pPr>
              <w:rPr>
                <w:rFonts w:ascii="Times New Roman" w:hAnsi="Times New Roman" w:cs="Times New Roman"/>
              </w:rPr>
            </w:pPr>
            <w:r w:rsidRPr="004F5FA3">
              <w:rPr>
                <w:rFonts w:ascii="Times New Roman" w:hAnsi="Times New Roman" w:cs="Times New Roman"/>
              </w:rPr>
              <w:t>Administrative updates</w:t>
            </w:r>
          </w:p>
        </w:tc>
      </w:tr>
    </w:tbl>
    <w:p w:rsidR="00C161E9" w:rsidRPr="00C161E9" w:rsidRDefault="00C161E9">
      <w:pPr>
        <w:rPr>
          <w:rFonts w:ascii="Times New Roman" w:hAnsi="Times New Roman" w:cs="Times New Roman"/>
          <w:b/>
        </w:rPr>
      </w:pPr>
    </w:p>
    <w:sectPr w:rsidR="00C161E9" w:rsidRPr="00C161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817" w:rsidRDefault="00231817" w:rsidP="00C161E9">
      <w:pPr>
        <w:spacing w:after="0" w:line="240" w:lineRule="auto"/>
      </w:pPr>
      <w:r>
        <w:separator/>
      </w:r>
    </w:p>
  </w:endnote>
  <w:endnote w:type="continuationSeparator" w:id="0">
    <w:p w:rsidR="00231817" w:rsidRDefault="00231817" w:rsidP="00C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C0" w:rsidRDefault="00D10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552"/>
      <w:gridCol w:w="1138"/>
    </w:tblGrid>
    <w:tr w:rsidR="00C161E9" w:rsidTr="004F5FA3">
      <w:tc>
        <w:tcPr>
          <w:tcW w:w="5670"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SOP </w:t>
          </w:r>
          <w:r w:rsidR="004F5FA3">
            <w:rPr>
              <w:rFonts w:ascii="Times New Roman" w:hAnsi="Times New Roman" w:cs="Times New Roman"/>
              <w:sz w:val="20"/>
              <w:szCs w:val="20"/>
            </w:rPr>
            <w:t>110.3</w:t>
          </w:r>
          <w:r w:rsidRPr="00C161E9">
            <w:rPr>
              <w:rFonts w:ascii="Times New Roman" w:hAnsi="Times New Roman" w:cs="Times New Roman"/>
              <w:sz w:val="20"/>
              <w:szCs w:val="20"/>
            </w:rPr>
            <w:t xml:space="preserve"> </w:t>
          </w:r>
          <w:r w:rsidR="004F5FA3">
            <w:rPr>
              <w:rFonts w:ascii="Times New Roman" w:hAnsi="Times New Roman" w:cs="Times New Roman"/>
              <w:sz w:val="20"/>
              <w:szCs w:val="20"/>
            </w:rPr>
            <w:t>–</w:t>
          </w:r>
          <w:r w:rsidRPr="00C161E9">
            <w:rPr>
              <w:rFonts w:ascii="Times New Roman" w:hAnsi="Times New Roman" w:cs="Times New Roman"/>
              <w:sz w:val="20"/>
              <w:szCs w:val="20"/>
            </w:rPr>
            <w:t xml:space="preserve"> </w:t>
          </w:r>
          <w:r w:rsidR="004F5FA3">
            <w:rPr>
              <w:rFonts w:ascii="Times New Roman" w:hAnsi="Times New Roman" w:cs="Times New Roman"/>
              <w:sz w:val="20"/>
              <w:szCs w:val="20"/>
            </w:rPr>
            <w:t>Withdrawal or Suspension of AREB Approval</w:t>
          </w:r>
        </w:p>
      </w:tc>
      <w:tc>
        <w:tcPr>
          <w:tcW w:w="2552"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Last Updated: </w:t>
          </w:r>
          <w:r w:rsidR="00D106C0">
            <w:rPr>
              <w:rFonts w:ascii="Times New Roman" w:hAnsi="Times New Roman" w:cs="Times New Roman"/>
              <w:sz w:val="20"/>
              <w:szCs w:val="20"/>
            </w:rPr>
            <w:t>2019-10-08</w:t>
          </w:r>
          <w:bookmarkStart w:id="0" w:name="_GoBack"/>
          <w:bookmarkEnd w:id="0"/>
        </w:p>
      </w:tc>
      <w:tc>
        <w:tcPr>
          <w:tcW w:w="1138" w:type="dxa"/>
        </w:tcPr>
        <w:p w:rsidR="00C161E9" w:rsidRPr="00C161E9" w:rsidRDefault="00C161E9">
          <w:pPr>
            <w:pStyle w:val="Footer"/>
            <w:rPr>
              <w:rFonts w:ascii="Times New Roman" w:hAnsi="Times New Roman" w:cs="Times New Roman"/>
              <w:sz w:val="20"/>
              <w:szCs w:val="20"/>
            </w:rPr>
          </w:pPr>
          <w:r w:rsidRPr="00C161E9">
            <w:rPr>
              <w:rFonts w:ascii="Times New Roman" w:hAnsi="Times New Roman" w:cs="Times New Roman"/>
              <w:sz w:val="20"/>
              <w:szCs w:val="20"/>
            </w:rPr>
            <w:t xml:space="preserve">Page </w:t>
          </w:r>
          <w:r w:rsidRPr="00C161E9">
            <w:rPr>
              <w:rFonts w:ascii="Times New Roman" w:hAnsi="Times New Roman" w:cs="Times New Roman"/>
              <w:sz w:val="20"/>
              <w:szCs w:val="20"/>
            </w:rPr>
            <w:fldChar w:fldCharType="begin"/>
          </w:r>
          <w:r w:rsidRPr="00C161E9">
            <w:rPr>
              <w:rFonts w:ascii="Times New Roman" w:hAnsi="Times New Roman" w:cs="Times New Roman"/>
              <w:sz w:val="20"/>
              <w:szCs w:val="20"/>
            </w:rPr>
            <w:instrText xml:space="preserve"> PAGE   \* MERGEFORMAT </w:instrText>
          </w:r>
          <w:r w:rsidRPr="00C161E9">
            <w:rPr>
              <w:rFonts w:ascii="Times New Roman" w:hAnsi="Times New Roman" w:cs="Times New Roman"/>
              <w:sz w:val="20"/>
              <w:szCs w:val="20"/>
            </w:rPr>
            <w:fldChar w:fldCharType="separate"/>
          </w:r>
          <w:r w:rsidRPr="00C161E9">
            <w:rPr>
              <w:rFonts w:ascii="Times New Roman" w:hAnsi="Times New Roman" w:cs="Times New Roman"/>
              <w:noProof/>
              <w:sz w:val="20"/>
              <w:szCs w:val="20"/>
            </w:rPr>
            <w:t>1</w:t>
          </w:r>
          <w:r w:rsidRPr="00C161E9">
            <w:rPr>
              <w:rFonts w:ascii="Times New Roman" w:hAnsi="Times New Roman" w:cs="Times New Roman"/>
              <w:noProof/>
              <w:sz w:val="20"/>
              <w:szCs w:val="20"/>
            </w:rPr>
            <w:fldChar w:fldCharType="end"/>
          </w:r>
        </w:p>
      </w:tc>
    </w:tr>
  </w:tbl>
  <w:p w:rsidR="00C161E9" w:rsidRDefault="00C161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C0" w:rsidRDefault="00D1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817" w:rsidRDefault="00231817" w:rsidP="00C161E9">
      <w:pPr>
        <w:spacing w:after="0" w:line="240" w:lineRule="auto"/>
      </w:pPr>
      <w:r>
        <w:separator/>
      </w:r>
    </w:p>
  </w:footnote>
  <w:footnote w:type="continuationSeparator" w:id="0">
    <w:p w:rsidR="00231817" w:rsidRDefault="00231817" w:rsidP="00C16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C0" w:rsidRDefault="00D10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1E9" w:rsidRDefault="00C161E9">
    <w:pPr>
      <w:pStyle w:val="Header"/>
    </w:pPr>
    <w:r>
      <w:rPr>
        <w:noProof/>
      </w:rPr>
      <w:drawing>
        <wp:anchor distT="0" distB="0" distL="0" distR="0" simplePos="0" relativeHeight="251657216" behindDoc="0" locked="0" layoutInCell="1" hidden="0" allowOverlap="1" wp14:anchorId="1EF7164D" wp14:editId="081F5CB8">
          <wp:simplePos x="0" y="0"/>
          <wp:positionH relativeFrom="page">
            <wp:align>left</wp:align>
          </wp:positionH>
          <wp:positionV relativeFrom="paragraph">
            <wp:posOffset>-457200</wp:posOffset>
          </wp:positionV>
          <wp:extent cx="3027600" cy="74160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27600" cy="7416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06C0" w:rsidRDefault="00D10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66623"/>
    <w:multiLevelType w:val="hybridMultilevel"/>
    <w:tmpl w:val="4F666CB6"/>
    <w:lvl w:ilvl="0" w:tplc="1E60909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E9"/>
    <w:rsid w:val="00193759"/>
    <w:rsid w:val="001D53AC"/>
    <w:rsid w:val="00231817"/>
    <w:rsid w:val="004021E3"/>
    <w:rsid w:val="004F5FA3"/>
    <w:rsid w:val="005D2083"/>
    <w:rsid w:val="007B6803"/>
    <w:rsid w:val="007F1B5A"/>
    <w:rsid w:val="00A34885"/>
    <w:rsid w:val="00AD0E91"/>
    <w:rsid w:val="00AD18A4"/>
    <w:rsid w:val="00B43DF5"/>
    <w:rsid w:val="00C161E9"/>
    <w:rsid w:val="00CD497A"/>
    <w:rsid w:val="00D106C0"/>
    <w:rsid w:val="00F56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574F2F"/>
  <w15:chartTrackingRefBased/>
  <w15:docId w15:val="{02639838-05DD-4355-8E76-73D23063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E9"/>
  </w:style>
  <w:style w:type="paragraph" w:styleId="Footer">
    <w:name w:val="footer"/>
    <w:basedOn w:val="Normal"/>
    <w:link w:val="FooterChar"/>
    <w:uiPriority w:val="99"/>
    <w:unhideWhenUsed/>
    <w:rsid w:val="00C161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E9"/>
  </w:style>
  <w:style w:type="table" w:styleId="TableGrid">
    <w:name w:val="Table Grid"/>
    <w:basedOn w:val="TableNormal"/>
    <w:uiPriority w:val="59"/>
    <w:rsid w:val="00C1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061E4-C3E9-4118-A01A-BB5FD94862EA}">
  <ds:schemaRefs>
    <ds:schemaRef ds:uri="http://schemas.openxmlformats.org/officeDocument/2006/bibliography"/>
  </ds:schemaRefs>
</ds:datastoreItem>
</file>

<file path=customXml/itemProps2.xml><?xml version="1.0" encoding="utf-8"?>
<ds:datastoreItem xmlns:ds="http://schemas.openxmlformats.org/officeDocument/2006/customXml" ds:itemID="{BB9E28FD-DF58-49E4-90C6-C835D13C1A32}"/>
</file>

<file path=customXml/itemProps3.xml><?xml version="1.0" encoding="utf-8"?>
<ds:datastoreItem xmlns:ds="http://schemas.openxmlformats.org/officeDocument/2006/customXml" ds:itemID="{56442AE8-5801-40E0-8398-C7B31568DCB1}"/>
</file>

<file path=customXml/itemProps4.xml><?xml version="1.0" encoding="utf-8"?>
<ds:datastoreItem xmlns:ds="http://schemas.openxmlformats.org/officeDocument/2006/customXml" ds:itemID="{34C9B71B-56B8-4F21-AC89-488460D12B62}"/>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Drozak</dc:creator>
  <cp:keywords/>
  <dc:description/>
  <cp:lastModifiedBy>Lindsey Drozak</cp:lastModifiedBy>
  <cp:revision>6</cp:revision>
  <dcterms:created xsi:type="dcterms:W3CDTF">2019-10-21T22:41:00Z</dcterms:created>
  <dcterms:modified xsi:type="dcterms:W3CDTF">2019-11-26T23:00:00Z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y fmtid="{D5CDD505-2E9C-101B-9397-08002B2CF9AE}" pid="3" name="Order">
    <vt:r8>21200</vt:r8>
  </property>
</Properties>
</file>