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0A7" w:rsidRDefault="004B20A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186"/>
        <w:gridCol w:w="6094"/>
      </w:tblGrid>
      <w:tr w:rsidR="004B20A7">
        <w:tc>
          <w:tcPr>
            <w:tcW w:w="2070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SOP:</w:t>
            </w:r>
          </w:p>
        </w:tc>
        <w:tc>
          <w:tcPr>
            <w:tcW w:w="1186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RS 111.3</w:t>
            </w:r>
          </w:p>
        </w:tc>
        <w:tc>
          <w:tcPr>
            <w:tcW w:w="6094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Appeals of AREB Decisions</w:t>
            </w:r>
          </w:p>
        </w:tc>
      </w:tr>
      <w:tr w:rsidR="004B20A7">
        <w:tc>
          <w:tcPr>
            <w:tcW w:w="2070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Version Date:</w:t>
            </w:r>
          </w:p>
        </w:tc>
        <w:tc>
          <w:tcPr>
            <w:tcW w:w="7280" w:type="dxa"/>
            <w:gridSpan w:val="2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11-2019</w:t>
            </w:r>
          </w:p>
        </w:tc>
      </w:tr>
      <w:tr w:rsidR="004B20A7">
        <w:tc>
          <w:tcPr>
            <w:tcW w:w="2070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Review By:</w:t>
            </w:r>
          </w:p>
        </w:tc>
        <w:tc>
          <w:tcPr>
            <w:tcW w:w="7280" w:type="dxa"/>
            <w:gridSpan w:val="2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11-2022</w:t>
            </w:r>
          </w:p>
        </w:tc>
      </w:tr>
      <w:tr w:rsidR="004B20A7">
        <w:tc>
          <w:tcPr>
            <w:tcW w:w="2070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Subject:</w:t>
            </w:r>
          </w:p>
        </w:tc>
        <w:tc>
          <w:tcPr>
            <w:tcW w:w="7280" w:type="dxa"/>
            <w:gridSpan w:val="2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describe the process of appeals (submission, receiving, and handling) of AREB decisions, in complement with Policy C5053.</w:t>
            </w:r>
          </w:p>
        </w:tc>
      </w:tr>
      <w:tr w:rsidR="004B20A7">
        <w:trPr>
          <w:trHeight w:val="120"/>
        </w:trPr>
        <w:tc>
          <w:tcPr>
            <w:tcW w:w="2070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Related Documents</w:t>
            </w:r>
          </w:p>
        </w:tc>
        <w:tc>
          <w:tcPr>
            <w:tcW w:w="7280" w:type="dxa"/>
            <w:gridSpan w:val="2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AREB SOPs 100, 109,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110;  MacEwan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University Policy Animal Research Ethics</w:t>
            </w:r>
          </w:p>
        </w:tc>
      </w:tr>
    </w:tbl>
    <w:p w:rsidR="004B20A7" w:rsidRDefault="009D665D">
      <w:pPr>
        <w:rPr>
          <w:rFonts w:ascii="Times New Roman" w:eastAsia="Times New Roman" w:hAnsi="Times New Roman" w:cs="Times New Roman"/>
          <w:b/>
        </w:rPr>
      </w:pPr>
      <w:r>
        <w:br/>
      </w:r>
      <w:r>
        <w:br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-101599</wp:posOffset>
                </wp:positionH>
                <wp:positionV relativeFrom="paragraph">
                  <wp:posOffset>241300</wp:posOffset>
                </wp:positionV>
                <wp:extent cx="6134100" cy="127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8950" y="378000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241300</wp:posOffset>
                </wp:positionV>
                <wp:extent cx="613410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B20A7" w:rsidRDefault="009D6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Appeals are considered a last resort. In the majority of cases, matters of disagreement can be resolved collegially between Principal Investigators and the AREB.</w:t>
      </w:r>
      <w:r>
        <w:rPr>
          <w:rFonts w:ascii="Times New Roman" w:eastAsia="Times New Roman" w:hAnsi="Times New Roman" w:cs="Times New Roman"/>
          <w:color w:val="000000"/>
        </w:rPr>
        <w:br/>
      </w:r>
      <w:bookmarkStart w:id="0" w:name="_GoBack"/>
      <w:bookmarkEnd w:id="0"/>
    </w:p>
    <w:p w:rsidR="004B20A7" w:rsidRDefault="009D66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Where a protocol author or dissenting minority of the AREB is dissatisfied with an AREB decis</w:t>
      </w:r>
      <w:r>
        <w:rPr>
          <w:rFonts w:ascii="Times New Roman" w:eastAsia="Times New Roman" w:hAnsi="Times New Roman" w:cs="Times New Roman"/>
          <w:color w:val="000000"/>
        </w:rPr>
        <w:t xml:space="preserve">ion or any ongoing research project, which cannot be resolved through communications between the protocol author and the AREB, the </w:t>
      </w:r>
      <w:r>
        <w:rPr>
          <w:rFonts w:ascii="Times New Roman" w:eastAsia="Times New Roman" w:hAnsi="Times New Roman" w:cs="Times New Roman"/>
        </w:rPr>
        <w:t>Associate Vice-President, Research</w:t>
      </w:r>
      <w:r>
        <w:rPr>
          <w:rFonts w:ascii="Times New Roman" w:eastAsia="Times New Roman" w:hAnsi="Times New Roman" w:cs="Times New Roman"/>
          <w:color w:val="000000"/>
        </w:rPr>
        <w:t xml:space="preserve">, has discretion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whether or not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to convene an Appeal Committee to rule on the matter.</w:t>
      </w:r>
    </w:p>
    <w:p w:rsidR="004B20A7" w:rsidRDefault="009D665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Appea</w:t>
      </w:r>
      <w:r>
        <w:rPr>
          <w:rFonts w:ascii="Times New Roman" w:eastAsia="Times New Roman" w:hAnsi="Times New Roman" w:cs="Times New Roman"/>
          <w:b/>
        </w:rPr>
        <w:t>l Process</w:t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Applicants with a concern or complaint about an AREB rejection, suspension, or withdrawal of their project must submit in writing to the AREB Chair, details and the grounds of the concern or complaint.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 complaints will be reviewed by the AREB</w:t>
      </w:r>
      <w:r>
        <w:rPr>
          <w:rFonts w:ascii="Times New Roman" w:eastAsia="Times New Roman" w:hAnsi="Times New Roman" w:cs="Times New Roman"/>
          <w:color w:val="000000"/>
        </w:rPr>
        <w:t xml:space="preserve"> and the Associate Vice-President, Research in an appropriate </w:t>
      </w:r>
      <w:r>
        <w:rPr>
          <w:rFonts w:ascii="Times New Roman" w:eastAsia="Times New Roman" w:hAnsi="Times New Roman" w:cs="Times New Roman"/>
        </w:rPr>
        <w:t>time frame</w:t>
      </w:r>
      <w:r>
        <w:rPr>
          <w:rFonts w:ascii="Times New Roman" w:eastAsia="Times New Roman" w:hAnsi="Times New Roman" w:cs="Times New Roman"/>
          <w:color w:val="000000"/>
        </w:rPr>
        <w:t>, depending on the seriousness of the complaint.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Associate Vice-President, Research, will send a letter of acknowledgement to the complainant, acknowledging receipt of the complai</w:t>
      </w:r>
      <w:r>
        <w:rPr>
          <w:rFonts w:ascii="Times New Roman" w:eastAsia="Times New Roman" w:hAnsi="Times New Roman" w:cs="Times New Roman"/>
          <w:color w:val="000000"/>
        </w:rPr>
        <w:t>nt, and outlining the mechanism by which the complaint will be investigated.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 cases where an Appeal Committee is established, persons involved in the original decision cannot serve on the Appeal Committee.  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convened, the Appeal Committee membership should include a veterinarian licensed in Alberta experienced in laboratory work with animals in Canada and CCAC regulations.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Appeal Committee will call on the investigator and the AREB Chair to provide inp</w:t>
      </w:r>
      <w:r>
        <w:rPr>
          <w:rFonts w:ascii="Times New Roman" w:eastAsia="Times New Roman" w:hAnsi="Times New Roman" w:cs="Times New Roman"/>
          <w:color w:val="000000"/>
        </w:rPr>
        <w:t>ut regarding the issues surrounding the appeal. The committee may also call on other subject matter experts named by the investigator to provide additional information.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4B20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:rsidR="004B20A7" w:rsidRDefault="004B20A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</w:rPr>
      </w:pP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The Appeal Committee restricts appeals to questions of AREB process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not to the substance of the AREB decision, and makes its recommendations to the Associate Vice-President, Research.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Appeal Committee may halt an ongoing project and all Committee dec</w:t>
      </w:r>
      <w:r>
        <w:rPr>
          <w:rFonts w:ascii="Times New Roman" w:eastAsia="Times New Roman" w:hAnsi="Times New Roman" w:cs="Times New Roman"/>
          <w:color w:val="000000"/>
        </w:rPr>
        <w:t>isions shall be final.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 complainant will be notified in writing of the Committee’s decision.</w:t>
      </w:r>
      <w:r>
        <w:rPr>
          <w:rFonts w:ascii="Times New Roman" w:eastAsia="Times New Roman" w:hAnsi="Times New Roman" w:cs="Times New Roman"/>
          <w:color w:val="000000"/>
        </w:rPr>
        <w:br/>
      </w:r>
    </w:p>
    <w:p w:rsidR="004B20A7" w:rsidRDefault="009D66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All complaints will be recorded and noted in the AREB annual report. This will include information about the complaint, materials reviewed during the investig</w:t>
      </w:r>
      <w:r>
        <w:rPr>
          <w:rFonts w:ascii="Times New Roman" w:eastAsia="Times New Roman" w:hAnsi="Times New Roman" w:cs="Times New Roman"/>
          <w:color w:val="000000"/>
        </w:rPr>
        <w:t>ation, the investigation results, and any other relevant documentation.</w:t>
      </w:r>
    </w:p>
    <w:p w:rsidR="004B20A7" w:rsidRDefault="009D665D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Previous Versions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3"/>
        <w:gridCol w:w="2495"/>
        <w:gridCol w:w="5212"/>
      </w:tblGrid>
      <w:tr w:rsidR="004B20A7">
        <w:tc>
          <w:tcPr>
            <w:tcW w:w="1643" w:type="dxa"/>
          </w:tcPr>
          <w:p w:rsidR="004B20A7" w:rsidRDefault="009D66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SOP Number</w:t>
            </w:r>
          </w:p>
        </w:tc>
        <w:tc>
          <w:tcPr>
            <w:tcW w:w="2495" w:type="dxa"/>
          </w:tcPr>
          <w:p w:rsidR="004B20A7" w:rsidRDefault="009D66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Effective</w:t>
            </w:r>
          </w:p>
        </w:tc>
        <w:tc>
          <w:tcPr>
            <w:tcW w:w="5212" w:type="dxa"/>
          </w:tcPr>
          <w:p w:rsidR="004B20A7" w:rsidRDefault="009D665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Summary of Changes</w:t>
            </w:r>
          </w:p>
        </w:tc>
      </w:tr>
      <w:tr w:rsidR="004B20A7">
        <w:tc>
          <w:tcPr>
            <w:tcW w:w="1643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111.0</w:t>
            </w:r>
          </w:p>
        </w:tc>
        <w:tc>
          <w:tcPr>
            <w:tcW w:w="2495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07-2010</w:t>
            </w:r>
          </w:p>
        </w:tc>
        <w:tc>
          <w:tcPr>
            <w:tcW w:w="5212" w:type="dxa"/>
          </w:tcPr>
          <w:p w:rsidR="004B20A7" w:rsidRDefault="004B20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20A7">
        <w:tc>
          <w:tcPr>
            <w:tcW w:w="1643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111.1</w:t>
            </w:r>
          </w:p>
        </w:tc>
        <w:tc>
          <w:tcPr>
            <w:tcW w:w="2495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07-2011</w:t>
            </w:r>
          </w:p>
        </w:tc>
        <w:tc>
          <w:tcPr>
            <w:tcW w:w="5212" w:type="dxa"/>
          </w:tcPr>
          <w:p w:rsidR="004B20A7" w:rsidRDefault="004B20A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B20A7">
        <w:tc>
          <w:tcPr>
            <w:tcW w:w="1643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111.2</w:t>
            </w:r>
          </w:p>
        </w:tc>
        <w:tc>
          <w:tcPr>
            <w:tcW w:w="2495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11-2016</w:t>
            </w:r>
          </w:p>
        </w:tc>
        <w:tc>
          <w:tcPr>
            <w:tcW w:w="5212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Minor administrative edits</w:t>
            </w:r>
          </w:p>
        </w:tc>
      </w:tr>
      <w:tr w:rsidR="004B20A7">
        <w:tc>
          <w:tcPr>
            <w:tcW w:w="1643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111.3 (current)</w:t>
            </w:r>
          </w:p>
        </w:tc>
        <w:tc>
          <w:tcPr>
            <w:tcW w:w="2495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11-2019</w:t>
            </w:r>
          </w:p>
        </w:tc>
        <w:tc>
          <w:tcPr>
            <w:tcW w:w="5212" w:type="dxa"/>
          </w:tcPr>
          <w:p w:rsidR="004B20A7" w:rsidRDefault="009D665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Updates to leadership</w:t>
            </w:r>
          </w:p>
        </w:tc>
      </w:tr>
    </w:tbl>
    <w:p w:rsidR="004B20A7" w:rsidRDefault="004B20A7">
      <w:pPr>
        <w:rPr>
          <w:rFonts w:ascii="Times New Roman" w:eastAsia="Times New Roman" w:hAnsi="Times New Roman" w:cs="Times New Roman"/>
          <w:b/>
        </w:rPr>
      </w:pPr>
    </w:p>
    <w:sectPr w:rsidR="004B2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665D">
      <w:pPr>
        <w:spacing w:after="0" w:line="240" w:lineRule="auto"/>
      </w:pPr>
      <w:r>
        <w:separator/>
      </w:r>
    </w:p>
  </w:endnote>
  <w:endnote w:type="continuationSeparator" w:id="0">
    <w:p w:rsidR="00000000" w:rsidRDefault="009D6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A7" w:rsidRDefault="004B20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A7" w:rsidRDefault="004B20A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1"/>
      <w:tblW w:w="93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2693"/>
      <w:gridCol w:w="1705"/>
    </w:tblGrid>
    <w:tr w:rsidR="004B20A7">
      <w:tc>
        <w:tcPr>
          <w:tcW w:w="4962" w:type="dxa"/>
        </w:tcPr>
        <w:p w:rsidR="004B20A7" w:rsidRDefault="009D66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bookmarkStart w:id="1" w:name="_heading=h.gjdgxs" w:colFirst="0" w:colLast="0"/>
          <w:bookmarkEnd w:id="1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SOP RS 111.3 – Appeals of AREB Decisions</w:t>
          </w:r>
        </w:p>
      </w:tc>
      <w:tc>
        <w:tcPr>
          <w:tcW w:w="2693" w:type="dxa"/>
        </w:tcPr>
        <w:p w:rsidR="004B20A7" w:rsidRDefault="009D66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Last Updated: 2019-11-13</w:t>
          </w:r>
        </w:p>
      </w:tc>
      <w:tc>
        <w:tcPr>
          <w:tcW w:w="1705" w:type="dxa"/>
        </w:tcPr>
        <w:p w:rsidR="004B20A7" w:rsidRDefault="009D66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Page 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 w:rsidR="009B053E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9B053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</w:p>
      </w:tc>
    </w:tr>
  </w:tbl>
  <w:p w:rsidR="004B20A7" w:rsidRDefault="004B20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A7" w:rsidRDefault="004B20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665D">
      <w:pPr>
        <w:spacing w:after="0" w:line="240" w:lineRule="auto"/>
      </w:pPr>
      <w:r>
        <w:separator/>
      </w:r>
    </w:p>
  </w:footnote>
  <w:footnote w:type="continuationSeparator" w:id="0">
    <w:p w:rsidR="00000000" w:rsidRDefault="009D6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A7" w:rsidRDefault="004B20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A7" w:rsidRDefault="009D66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-628649</wp:posOffset>
          </wp:positionH>
          <wp:positionV relativeFrom="paragraph">
            <wp:posOffset>-161924</wp:posOffset>
          </wp:positionV>
          <wp:extent cx="3027600" cy="507242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7600" cy="5072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A7" w:rsidRDefault="004B20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D4119"/>
    <w:multiLevelType w:val="multilevel"/>
    <w:tmpl w:val="4620C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83791"/>
    <w:multiLevelType w:val="multilevel"/>
    <w:tmpl w:val="01EC1A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0A7"/>
    <w:rsid w:val="004B20A7"/>
    <w:rsid w:val="009B053E"/>
    <w:rsid w:val="009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1A13"/>
  <w15:docId w15:val="{40B63BEC-C814-4F70-97C6-80E4D023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6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1E9"/>
  </w:style>
  <w:style w:type="paragraph" w:styleId="Footer">
    <w:name w:val="footer"/>
    <w:basedOn w:val="Normal"/>
    <w:link w:val="FooterChar"/>
    <w:uiPriority w:val="99"/>
    <w:unhideWhenUsed/>
    <w:rsid w:val="00C16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1E9"/>
  </w:style>
  <w:style w:type="table" w:styleId="TableGrid">
    <w:name w:val="Table Grid"/>
    <w:basedOn w:val="TableNormal"/>
    <w:uiPriority w:val="59"/>
    <w:rsid w:val="00C1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61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5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3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3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3C8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NqnH0dMFDPDJ2dTkE04W7U6Zlw==">AMUW2mUrOnNG8lbmLJq3dd6VVnRGeqy2pgSk6iHc2iUUDRgnblTYMbqjN/MK5SFOry2tzFwINJdzRpv9Lp0DbQJmdW/pNpHZAgS5+UXlguppIaZi0W57Qes1NJzLLVmdkGFVYauRrOsc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E1A7AD8D9524B88E40AB83A3169EA" ma:contentTypeVersion="12" ma:contentTypeDescription="Create a new document." ma:contentTypeScope="" ma:versionID="ae1deeda3ae0afb287c7b20271b847c4">
  <xsd:schema xmlns:xsd="http://www.w3.org/2001/XMLSchema" xmlns:xs="http://www.w3.org/2001/XMLSchema" xmlns:p="http://schemas.microsoft.com/office/2006/metadata/properties" xmlns:ns2="946050e8-cfd0-42cb-b07c-c2a11ed82b93" xmlns:ns3="92305e23-3075-44c5-8b4f-bd9e641a289c" targetNamespace="http://schemas.microsoft.com/office/2006/metadata/properties" ma:root="true" ma:fieldsID="792f521aa226c04aca21efd689d82362" ns2:_="" ns3:_="">
    <xsd:import namespace="946050e8-cfd0-42cb-b07c-c2a11ed82b93"/>
    <xsd:import namespace="92305e23-3075-44c5-8b4f-bd9e641a2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050e8-cfd0-42cb-b07c-c2a11ed82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05e23-3075-44c5-8b4f-bd9e641a2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1BE7A68-67E7-4C69-A790-1C4B46A23368}"/>
</file>

<file path=customXml/itemProps3.xml><?xml version="1.0" encoding="utf-8"?>
<ds:datastoreItem xmlns:ds="http://schemas.openxmlformats.org/officeDocument/2006/customXml" ds:itemID="{CA4C9F36-65F1-436F-9A15-82517CF192E0}"/>
</file>

<file path=customXml/itemProps4.xml><?xml version="1.0" encoding="utf-8"?>
<ds:datastoreItem xmlns:ds="http://schemas.openxmlformats.org/officeDocument/2006/customXml" ds:itemID="{11E33137-F03E-4EFF-903F-808A0DA61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2376</Characters>
  <Application>Microsoft Office Word</Application>
  <DocSecurity>0</DocSecurity>
  <Lines>103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Drozak</dc:creator>
  <cp:lastModifiedBy>Rebecca Mitchell</cp:lastModifiedBy>
  <cp:revision>3</cp:revision>
  <dcterms:created xsi:type="dcterms:W3CDTF">2019-12-04T18:16:00Z</dcterms:created>
  <dcterms:modified xsi:type="dcterms:W3CDTF">2019-12-04T18:16:00Z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0x010100BAAE1A7AD8D9524B88E40AB83A3169EA</vt:lpwstr>
  </property>
  <property fmtid="{D5CDD505-2E9C-101B-9397-08002B2CF9AE}" pid="3" name="Order">
    <vt:r8>21300</vt:r8>
  </property>
</Properties>
</file>